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ED0D91" w:rsidP="00F175FB">
      <w:pPr>
        <w:rPr>
          <w:b/>
          <w:noProof/>
          <w:sz w:val="28"/>
          <w:szCs w:val="28"/>
        </w:rPr>
      </w:pPr>
      <w:r w:rsidRPr="00ED0D91">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761774" w:rsidRPr="00761774">
                    <w:rPr>
                      <w:b/>
                      <w:noProof/>
                      <w:color w:val="FFFFFF" w:themeColor="background1"/>
                      <w:sz w:val="52"/>
                      <w:szCs w:val="52"/>
                    </w:rPr>
                    <w:drawing>
                      <wp:inline distT="0" distB="0" distL="0" distR="0">
                        <wp:extent cx="1680983" cy="1676400"/>
                        <wp:effectExtent l="38100" t="0" r="14467" b="495300"/>
                        <wp:docPr id="4"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5"/>
                                <a:srcRect/>
                                <a:stretch>
                                  <a:fillRect/>
                                </a:stretch>
                              </pic:blipFill>
                              <pic:spPr bwMode="auto">
                                <a:xfrm>
                                  <a:off x="0" y="0"/>
                                  <a:ext cx="1683620" cy="1679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761774">
                    <w:rPr>
                      <w:b/>
                      <w:color w:val="FFFFFF" w:themeColor="background1"/>
                      <w:sz w:val="52"/>
                      <w:szCs w:val="52"/>
                    </w:rPr>
                    <w:t>«</w:t>
                  </w:r>
                  <w:r w:rsidR="002824FE" w:rsidRPr="00761774">
                    <w:rPr>
                      <w:b/>
                      <w:color w:val="FFFFFF" w:themeColor="background1"/>
                      <w:sz w:val="52"/>
                      <w:szCs w:val="52"/>
                    </w:rPr>
                    <w:t>ОБЩЕСТВЕННОГО ДЕПАРТАМЕНТА</w:t>
                  </w:r>
                  <w:r w:rsidR="00AA1141" w:rsidRPr="00761774">
                    <w:rPr>
                      <w:b/>
                      <w:color w:val="FFFFFF" w:themeColor="background1"/>
                      <w:sz w:val="52"/>
                      <w:szCs w:val="52"/>
                    </w:rPr>
                    <w:t>»</w:t>
                  </w:r>
                  <w:r w:rsidR="002824FE">
                    <w:rPr>
                      <w:b/>
                      <w:color w:val="FFFFFF" w:themeColor="background1"/>
                      <w:sz w:val="40"/>
                      <w:szCs w:val="40"/>
                    </w:rPr>
                    <w:t xml:space="preserve">                                      </w:t>
                  </w:r>
                  <w:r w:rsidR="002824FE" w:rsidRPr="00761774">
                    <w:rPr>
                      <w:rStyle w:val="afd"/>
                      <w:b/>
                      <w:i w:val="0"/>
                      <w:color w:val="FFC000"/>
                      <w:sz w:val="36"/>
                      <w:szCs w:val="36"/>
                    </w:rPr>
                    <w:t>И СТРУКТУРНЫХ ПОДРАЗДЕЛЕНИЙ В ОБЛАСТИ                  ФИЗИЧЕСКОЙ КУЛЬТУРЫ И</w:t>
                  </w:r>
                  <w:r w:rsidR="002824FE" w:rsidRPr="00761774">
                    <w:rPr>
                      <w:rStyle w:val="afd"/>
                      <w:color w:val="FFC000"/>
                      <w:sz w:val="36"/>
                      <w:szCs w:val="36"/>
                    </w:rPr>
                    <w:t xml:space="preserve"> </w:t>
                  </w:r>
                  <w:r w:rsidR="002824FE" w:rsidRPr="00761774">
                    <w:rPr>
                      <w:rStyle w:val="afd"/>
                      <w:b/>
                      <w:i w:val="0"/>
                      <w:color w:val="FFC000"/>
                      <w:sz w:val="36"/>
                      <w:szCs w:val="36"/>
                    </w:rPr>
                    <w:t>СПОРТА</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ED0D91">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761774" w:rsidP="00F175FB">
                    <w:pPr>
                      <w:pStyle w:val="affe"/>
                      <w:spacing w:line="360" w:lineRule="auto"/>
                      <w:rPr>
                        <w:b/>
                        <w:color w:val="002060"/>
                        <w:sz w:val="20"/>
                        <w:szCs w:val="20"/>
                      </w:rPr>
                    </w:pPr>
                    <w:r>
                      <w:rPr>
                        <w:b/>
                        <w:color w:val="002060"/>
                        <w:sz w:val="20"/>
                        <w:szCs w:val="20"/>
                      </w:rPr>
                      <w:t>ОБЩЕСТВЕННЫЙ ДЕПАРТАМЕНТ ОБРАЗОВАНИЯ И НАУКИ</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761774">
                      <w:t>бщественного Департамента образования и науки</w:t>
                    </w:r>
                  </w:p>
                  <w:p w:rsidR="009D53CD" w:rsidRPr="00761774" w:rsidRDefault="009D53CD" w:rsidP="009D53CD">
                    <w:pPr>
                      <w:rPr>
                        <w:b/>
                        <w:color w:val="002060"/>
                        <w:sz w:val="28"/>
                        <w:szCs w:val="28"/>
                      </w:rPr>
                    </w:pPr>
                  </w:p>
                  <w:p w:rsidR="00E24804" w:rsidRPr="00761774" w:rsidRDefault="00E24804" w:rsidP="00761774">
                    <w:pPr>
                      <w:rPr>
                        <w:b/>
                        <w:color w:val="002060"/>
                        <w:sz w:val="28"/>
                        <w:szCs w:val="28"/>
                      </w:rPr>
                    </w:pPr>
                    <w:r w:rsidRPr="00761774">
                      <w:rPr>
                        <w:b/>
                        <w:color w:val="002060"/>
                        <w:sz w:val="28"/>
                        <w:szCs w:val="28"/>
                      </w:rPr>
                      <w:t>Соисполнители</w:t>
                    </w:r>
                    <w:r w:rsidR="00424B88" w:rsidRPr="00761774">
                      <w:rPr>
                        <w:b/>
                        <w:color w:val="002060"/>
                        <w:sz w:val="28"/>
                        <w:szCs w:val="28"/>
                      </w:rPr>
                      <w:t>:</w:t>
                    </w:r>
                    <w:r w:rsidR="00041123" w:rsidRPr="00761774">
                      <w:rPr>
                        <w:b/>
                        <w:color w:val="002060"/>
                        <w:sz w:val="28"/>
                        <w:szCs w:val="28"/>
                      </w:rPr>
                      <w:t xml:space="preserve">   </w:t>
                    </w:r>
                  </w:p>
                  <w:p w:rsidR="00041123" w:rsidRPr="009D53CD" w:rsidRDefault="009D53CD" w:rsidP="00761774">
                    <w:r>
                      <w:t>Структурны подразделения о</w:t>
                    </w:r>
                    <w:r w:rsidR="00761774">
                      <w:t>бщественного Департамента образования и науки</w:t>
                    </w:r>
                    <w:r w:rsidR="00041123">
                      <w:t xml:space="preserve">                     </w:t>
                    </w:r>
                  </w:p>
                  <w:p w:rsidR="00041123" w:rsidRPr="008873F7" w:rsidRDefault="00041123" w:rsidP="00F175FB">
                    <w:pPr>
                      <w:pStyle w:val="affe"/>
                      <w:spacing w:line="360" w:lineRule="auto"/>
                      <w:rPr>
                        <w:color w:val="002060"/>
                        <w:sz w:val="20"/>
                        <w:szCs w:val="20"/>
                        <w:u w:val="single"/>
                      </w:rPr>
                    </w:pPr>
                    <w:r w:rsidRPr="00544A14">
                      <w:rPr>
                        <w:b/>
                        <w:color w:val="002060"/>
                        <w:sz w:val="20"/>
                        <w:szCs w:val="20"/>
                        <w:u w:val="single"/>
                      </w:rPr>
                      <w:t>Е</w:t>
                    </w:r>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r w:rsidR="00761774">
                      <w:rPr>
                        <w:lang w:val="en-US"/>
                      </w:rPr>
                      <w:t>od</w:t>
                    </w:r>
                    <w:r w:rsidR="00761774">
                      <w:t>о</w:t>
                    </w:r>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761774" w:rsidRDefault="007534B0" w:rsidP="002824FE">
      <w:pPr>
        <w:rPr>
          <w:b/>
          <w:noProof/>
          <w:sz w:val="28"/>
          <w:szCs w:val="28"/>
        </w:rPr>
      </w:pPr>
      <w:r>
        <w:rPr>
          <w:b/>
          <w:noProof/>
          <w:sz w:val="28"/>
          <w:szCs w:val="28"/>
        </w:rPr>
        <w:t xml:space="preserve">           </w:t>
      </w:r>
    </w:p>
    <w:p w:rsidR="00761774" w:rsidRPr="00761774" w:rsidRDefault="00761774" w:rsidP="002824FE">
      <w:pPr>
        <w:rPr>
          <w:b/>
          <w:noProof/>
          <w:color w:val="002060"/>
          <w:sz w:val="28"/>
          <w:szCs w:val="28"/>
        </w:rPr>
      </w:pPr>
      <w:r>
        <w:rPr>
          <w:b/>
          <w:noProof/>
          <w:color w:val="002060"/>
          <w:sz w:val="28"/>
          <w:szCs w:val="28"/>
        </w:rPr>
        <w:t xml:space="preserve">            </w:t>
      </w:r>
      <w:r w:rsidR="002824FE" w:rsidRPr="00761774">
        <w:rPr>
          <w:b/>
          <w:noProof/>
          <w:color w:val="002060"/>
          <w:sz w:val="28"/>
          <w:szCs w:val="28"/>
        </w:rPr>
        <w:t xml:space="preserve">СТРАТЕГИЯ </w:t>
      </w:r>
      <w:r>
        <w:rPr>
          <w:b/>
          <w:noProof/>
          <w:color w:val="002060"/>
          <w:sz w:val="28"/>
          <w:szCs w:val="28"/>
        </w:rPr>
        <w:t xml:space="preserve"> </w:t>
      </w:r>
      <w:r w:rsidR="002824FE" w:rsidRPr="00761774">
        <w:rPr>
          <w:b/>
          <w:noProof/>
          <w:color w:val="002060"/>
          <w:sz w:val="28"/>
          <w:szCs w:val="28"/>
        </w:rPr>
        <w:t xml:space="preserve">ДОЛГОСРОЧНОГО  </w:t>
      </w:r>
    </w:p>
    <w:p w:rsidR="002824FE" w:rsidRPr="00761774" w:rsidRDefault="00761774" w:rsidP="002824FE">
      <w:pPr>
        <w:rPr>
          <w:b/>
          <w:noProof/>
          <w:color w:val="002060"/>
          <w:sz w:val="28"/>
          <w:szCs w:val="28"/>
        </w:rPr>
      </w:pPr>
      <w:r>
        <w:rPr>
          <w:b/>
          <w:noProof/>
          <w:color w:val="002060"/>
          <w:sz w:val="28"/>
          <w:szCs w:val="28"/>
        </w:rPr>
        <w:t xml:space="preserve">   </w:t>
      </w:r>
      <w:r w:rsidR="002824FE" w:rsidRPr="00761774">
        <w:rPr>
          <w:b/>
          <w:noProof/>
          <w:color w:val="002060"/>
          <w:sz w:val="28"/>
          <w:szCs w:val="28"/>
        </w:rPr>
        <w:t>РАЗВИТИЯ ГРАЖДАНСКОГО ОБЩЕСТВА</w:t>
      </w:r>
    </w:p>
    <w:p w:rsidR="002824FE" w:rsidRPr="00761774" w:rsidRDefault="002824FE" w:rsidP="002824FE">
      <w:pPr>
        <w:rPr>
          <w:b/>
          <w:noProof/>
          <w:color w:val="002060"/>
          <w:sz w:val="28"/>
          <w:szCs w:val="28"/>
        </w:rPr>
      </w:pPr>
      <w:r w:rsidRPr="00761774">
        <w:rPr>
          <w:b/>
          <w:noProof/>
          <w:color w:val="002060"/>
          <w:sz w:val="28"/>
          <w:szCs w:val="28"/>
        </w:rPr>
        <w:t xml:space="preserve"> </w:t>
      </w:r>
      <w:r w:rsidRPr="00761774">
        <w:rPr>
          <w:b/>
          <w:noProof/>
          <w:color w:val="002060"/>
          <w:sz w:val="28"/>
          <w:szCs w:val="28"/>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761774">
        <w:rPr>
          <w:b/>
          <w:noProof/>
          <w:color w:val="002060"/>
          <w:sz w:val="28"/>
          <w:szCs w:val="28"/>
        </w:rPr>
        <w:t xml:space="preserve">    </w:t>
      </w:r>
      <w:r w:rsidR="00761774" w:rsidRPr="00761774">
        <w:rPr>
          <w:b/>
          <w:noProof/>
          <w:color w:val="002060"/>
          <w:sz w:val="28"/>
          <w:szCs w:val="28"/>
        </w:rPr>
        <w:t>В ОБЛАСТИ ОБРАЗОВАНИЯ</w:t>
      </w:r>
      <w:r w:rsidRPr="00761774">
        <w:rPr>
          <w:b/>
          <w:noProof/>
          <w:color w:val="002060"/>
          <w:sz w:val="28"/>
          <w:szCs w:val="28"/>
        </w:rPr>
        <w:t xml:space="preserve"> И</w:t>
      </w:r>
      <w:r w:rsidR="00761774" w:rsidRPr="00761774">
        <w:rPr>
          <w:b/>
          <w:noProof/>
          <w:color w:val="002060"/>
          <w:sz w:val="28"/>
          <w:szCs w:val="28"/>
        </w:rPr>
        <w:t xml:space="preserve"> НАУКИ</w:t>
      </w:r>
    </w:p>
    <w:p w:rsidR="002824FE" w:rsidRPr="00761774" w:rsidRDefault="00761774" w:rsidP="002824FE">
      <w:pPr>
        <w:rPr>
          <w:b/>
          <w:noProof/>
          <w:color w:val="002060"/>
          <w:sz w:val="28"/>
          <w:szCs w:val="28"/>
        </w:rPr>
      </w:pPr>
      <w:r w:rsidRPr="00761774">
        <w:rPr>
          <w:b/>
          <w:noProof/>
          <w:color w:val="002060"/>
          <w:sz w:val="28"/>
          <w:szCs w:val="28"/>
        </w:rPr>
        <w:t xml:space="preserve">    </w:t>
      </w:r>
      <w:r w:rsidR="002824FE" w:rsidRPr="00761774">
        <w:rPr>
          <w:b/>
          <w:noProof/>
          <w:color w:val="002060"/>
          <w:sz w:val="28"/>
          <w:szCs w:val="28"/>
        </w:rPr>
        <w:t xml:space="preserve"> </w:t>
      </w:r>
      <w:r>
        <w:rPr>
          <w:b/>
          <w:noProof/>
          <w:color w:val="002060"/>
          <w:sz w:val="28"/>
          <w:szCs w:val="28"/>
        </w:rPr>
        <w:t xml:space="preserve">         </w:t>
      </w:r>
      <w:r w:rsidR="002824FE" w:rsidRPr="00761774">
        <w:rPr>
          <w:b/>
          <w:noProof/>
          <w:color w:val="002060"/>
          <w:sz w:val="28"/>
          <w:szCs w:val="28"/>
        </w:rPr>
        <w:t>ЧЕЛЯБИНСКОЙ ОБЛАСТИ</w:t>
      </w:r>
    </w:p>
    <w:p w:rsidR="002824FE" w:rsidRPr="006E5297" w:rsidRDefault="002824FE" w:rsidP="002824FE">
      <w:pPr>
        <w:rPr>
          <w:b/>
          <w:noProof/>
          <w:color w:val="002060"/>
          <w:sz w:val="32"/>
          <w:szCs w:val="32"/>
        </w:rPr>
      </w:pPr>
    </w:p>
    <w:p w:rsidR="002824FE" w:rsidRDefault="002824FE" w:rsidP="002824FE">
      <w:pPr>
        <w:rPr>
          <w:b/>
          <w:noProof/>
          <w:color w:val="002060"/>
          <w:sz w:val="36"/>
          <w:szCs w:val="36"/>
        </w:rPr>
      </w:pPr>
      <w:r>
        <w:rPr>
          <w:b/>
          <w:noProof/>
          <w:color w:val="002060"/>
          <w:sz w:val="36"/>
          <w:szCs w:val="36"/>
        </w:rPr>
        <w:t xml:space="preserve">     </w:t>
      </w:r>
      <w:r w:rsidR="00761774">
        <w:rPr>
          <w:b/>
          <w:noProof/>
          <w:color w:val="002060"/>
          <w:sz w:val="36"/>
          <w:szCs w:val="36"/>
        </w:rPr>
        <w:t xml:space="preserve">    </w:t>
      </w:r>
      <w:r>
        <w:rPr>
          <w:b/>
          <w:noProof/>
          <w:color w:val="002060"/>
          <w:sz w:val="36"/>
          <w:szCs w:val="36"/>
        </w:rPr>
        <w:t xml:space="preserve">  </w:t>
      </w:r>
      <w:r w:rsidR="00761774" w:rsidRPr="00761774">
        <w:rPr>
          <w:b/>
          <w:noProof/>
          <w:color w:val="002060"/>
          <w:sz w:val="36"/>
          <w:szCs w:val="36"/>
        </w:rPr>
        <w:drawing>
          <wp:inline distT="0" distB="0" distL="0" distR="0">
            <wp:extent cx="2330452" cy="2324100"/>
            <wp:effectExtent l="38100" t="0" r="12698" b="685800"/>
            <wp:docPr id="15"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8" cstate="print"/>
                    <a:srcRect/>
                    <a:stretch>
                      <a:fillRect/>
                    </a:stretch>
                  </pic:blipFill>
                  <pic:spPr bwMode="auto">
                    <a:xfrm>
                      <a:off x="0" y="0"/>
                      <a:ext cx="2334108" cy="23277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color w:val="002060"/>
          <w:sz w:val="36"/>
          <w:szCs w:val="36"/>
        </w:rPr>
        <w:t xml:space="preserve">     </w:t>
      </w:r>
    </w:p>
    <w:p w:rsidR="009D53CD" w:rsidRDefault="007C1929" w:rsidP="009D53CD">
      <w:pPr>
        <w:rPr>
          <w:b/>
          <w:noProof/>
          <w:sz w:val="28"/>
          <w:szCs w:val="28"/>
        </w:rPr>
      </w:pPr>
      <w:r>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61774" w:rsidRPr="00761774" w:rsidRDefault="00761774" w:rsidP="009D53CD">
      <w:pPr>
        <w:rPr>
          <w:b/>
          <w:noProof/>
          <w:sz w:val="28"/>
          <w:szCs w:val="28"/>
        </w:rPr>
      </w:pP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761774">
        <w:rPr>
          <w:b/>
          <w:kern w:val="36"/>
          <w:sz w:val="32"/>
          <w:szCs w:val="32"/>
        </w:rPr>
        <w:t>бщественного Департамента</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в обла</w:t>
      </w:r>
      <w:r w:rsidR="00761774">
        <w:rPr>
          <w:b/>
          <w:kern w:val="36"/>
          <w:sz w:val="32"/>
          <w:szCs w:val="32"/>
        </w:rPr>
        <w:t>сти образования и науки</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761774">
              <w:rPr>
                <w:sz w:val="28"/>
                <w:szCs w:val="28"/>
              </w:rPr>
              <w:t xml:space="preserve">в области образования и науки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области </w:t>
            </w:r>
            <w:r w:rsidR="00761774">
              <w:rPr>
                <w:sz w:val="28"/>
                <w:szCs w:val="28"/>
              </w:rPr>
              <w:t>образования и науки</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9E5048" w:rsidRPr="00B470B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761774">
              <w:rPr>
                <w:sz w:val="28"/>
                <w:szCs w:val="28"/>
              </w:rPr>
              <w:t>бщественного Департамента образования и науки</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9E5048">
              <w:rPr>
                <w:sz w:val="28"/>
                <w:szCs w:val="28"/>
              </w:rPr>
              <w:t xml:space="preserve">Координационные Советы городских и районных центров содействия развитию  структурных подразделений общественного Департамента </w:t>
            </w:r>
            <w:r w:rsidR="00761774">
              <w:rPr>
                <w:sz w:val="28"/>
                <w:szCs w:val="28"/>
              </w:rPr>
              <w:t>образования и науки</w:t>
            </w:r>
            <w:r w:rsidR="009E504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w:t>
            </w:r>
            <w:r w:rsidR="00761774">
              <w:rPr>
                <w:sz w:val="28"/>
                <w:szCs w:val="28"/>
              </w:rPr>
              <w:t>сти образования и науки</w:t>
            </w:r>
            <w:r w:rsidRPr="00F5317A">
              <w:rPr>
                <w:sz w:val="28"/>
                <w:szCs w:val="28"/>
              </w:rPr>
              <w:t xml:space="preserve"> Челябинской области</w:t>
            </w:r>
            <w:r w:rsidR="00735946">
              <w:rPr>
                <w:sz w:val="28"/>
                <w:szCs w:val="28"/>
              </w:rPr>
              <w:t>.</w:t>
            </w:r>
            <w:r w:rsidRPr="00F5317A">
              <w:rPr>
                <w:sz w:val="28"/>
                <w:szCs w:val="28"/>
              </w:rPr>
              <w:br/>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 xml:space="preserve">а также </w:t>
            </w:r>
            <w:r w:rsidRPr="0008246E">
              <w:rPr>
                <w:sz w:val="28"/>
                <w:szCs w:val="28"/>
              </w:rPr>
              <w:lastRenderedPageBreak/>
              <w:t>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 активности 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r w:rsidRPr="00F5317A">
              <w:rPr>
                <w:sz w:val="28"/>
                <w:szCs w:val="28"/>
              </w:rPr>
              <w:t xml:space="preserve"> </w:t>
            </w:r>
            <w:r>
              <w:rPr>
                <w:sz w:val="28"/>
                <w:szCs w:val="28"/>
              </w:rPr>
              <w:t>.</w:t>
            </w:r>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организаций (НКО), занимающихся общественно </w:t>
            </w:r>
            <w:r w:rsidRPr="00402265">
              <w:rPr>
                <w:sz w:val="28"/>
                <w:szCs w:val="28"/>
              </w:rPr>
              <w:lastRenderedPageBreak/>
              <w:t>полезными социальными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761774">
              <w:rPr>
                <w:sz w:val="28"/>
                <w:szCs w:val="28"/>
              </w:rPr>
              <w:t>бщественного Департамента образования и науки</w:t>
            </w:r>
            <w:r w:rsidR="00B66E08">
              <w:rPr>
                <w:sz w:val="28"/>
                <w:szCs w:val="28"/>
              </w:rPr>
              <w:t xml:space="preserve"> (стр</w:t>
            </w:r>
            <w:r w:rsidR="00761774">
              <w:rPr>
                <w:sz w:val="28"/>
                <w:szCs w:val="28"/>
              </w:rPr>
              <w:t>уктуризация и систематизация</w:t>
            </w:r>
            <w:r w:rsidR="00B66E08">
              <w:rPr>
                <w:sz w:val="28"/>
                <w:szCs w:val="28"/>
              </w:rPr>
              <w:t>)</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 xml:space="preserve">области </w:t>
            </w:r>
            <w:r w:rsidR="00761774">
              <w:rPr>
                <w:sz w:val="28"/>
                <w:szCs w:val="28"/>
              </w:rPr>
              <w:t>образования и науки</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w:t>
            </w:r>
            <w:r w:rsidR="00761774">
              <w:rPr>
                <w:sz w:val="28"/>
                <w:szCs w:val="28"/>
              </w:rPr>
              <w:t>бщественного Департамента</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w:t>
            </w:r>
            <w:r w:rsidR="00761774">
              <w:rPr>
                <w:sz w:val="28"/>
                <w:szCs w:val="28"/>
              </w:rPr>
              <w:t xml:space="preserve">бщественным Департаментом </w:t>
            </w:r>
            <w:r w:rsidRPr="006158FD">
              <w:rPr>
                <w:sz w:val="28"/>
                <w:szCs w:val="28"/>
              </w:rPr>
              <w:t>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w:t>
            </w:r>
            <w:r w:rsidR="00761774">
              <w:rPr>
                <w:sz w:val="28"/>
                <w:szCs w:val="28"/>
              </w:rPr>
              <w:t>сти образования и науки</w:t>
            </w:r>
            <w:r w:rsidR="00033BCF">
              <w:rPr>
                <w:sz w:val="28"/>
                <w:szCs w:val="28"/>
              </w:rPr>
              <w:t>,</w:t>
            </w:r>
            <w:r w:rsidRPr="00A81B8B">
              <w:rPr>
                <w:sz w:val="28"/>
                <w:szCs w:val="28"/>
              </w:rPr>
              <w:t xml:space="preserve"> состави</w:t>
            </w:r>
            <w:r w:rsidR="007D4CA6">
              <w:rPr>
                <w:sz w:val="28"/>
                <w:szCs w:val="28"/>
              </w:rPr>
              <w:t>т к 2035</w:t>
            </w:r>
            <w:r w:rsidR="00761774">
              <w:rPr>
                <w:sz w:val="28"/>
                <w:szCs w:val="28"/>
              </w:rPr>
              <w:t xml:space="preserve"> году более 100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Pr>
                <w:sz w:val="28"/>
                <w:szCs w:val="28"/>
              </w:rPr>
              <w:t xml:space="preserve">  1 млн.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 </w:t>
            </w:r>
            <w:r w:rsidR="00761774">
              <w:rPr>
                <w:sz w:val="28"/>
                <w:szCs w:val="28"/>
              </w:rPr>
              <w:t xml:space="preserve">образования и науки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lastRenderedPageBreak/>
              <w:t>Увеличение количество СОНКО</w:t>
            </w:r>
            <w:r w:rsidR="00910A45">
              <w:rPr>
                <w:sz w:val="28"/>
                <w:szCs w:val="28"/>
              </w:rPr>
              <w:t xml:space="preserve"> в области </w:t>
            </w:r>
            <w:r w:rsidR="00761774">
              <w:rPr>
                <w:sz w:val="28"/>
                <w:szCs w:val="28"/>
              </w:rPr>
              <w:t>образования и науки</w:t>
            </w:r>
            <w:r>
              <w:rPr>
                <w:sz w:val="28"/>
                <w:szCs w:val="28"/>
              </w:rPr>
              <w:t>, получающ</w:t>
            </w:r>
            <w:r w:rsidR="007D4CA6">
              <w:rPr>
                <w:sz w:val="28"/>
                <w:szCs w:val="28"/>
              </w:rPr>
              <w:t>их  другие виды поддержки</w:t>
            </w:r>
            <w:r w:rsidR="001357BD">
              <w:rPr>
                <w:sz w:val="28"/>
                <w:szCs w:val="28"/>
              </w:rPr>
              <w:t xml:space="preserve"> 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w:t>
            </w:r>
            <w:r w:rsidR="00761774">
              <w:rPr>
                <w:sz w:val="28"/>
                <w:szCs w:val="28"/>
              </w:rPr>
              <w:t xml:space="preserve">образования и науки </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w:t>
            </w:r>
            <w:r w:rsidR="00761774">
              <w:rPr>
                <w:sz w:val="28"/>
                <w:szCs w:val="28"/>
              </w:rPr>
              <w:t xml:space="preserve">образования и науки </w:t>
            </w:r>
            <w:r w:rsidR="007D4CA6">
              <w:rPr>
                <w:sz w:val="28"/>
                <w:szCs w:val="28"/>
              </w:rPr>
              <w:t xml:space="preserve"> к 2020</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области </w:t>
            </w:r>
            <w:r w:rsidR="00761774">
              <w:rPr>
                <w:sz w:val="28"/>
                <w:szCs w:val="28"/>
              </w:rPr>
              <w:t>образования и науки</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61774">
        <w:rPr>
          <w:sz w:val="28"/>
          <w:szCs w:val="28"/>
        </w:rPr>
        <w:t xml:space="preserve"> в области образования и науки</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w:t>
      </w:r>
      <w:r w:rsidR="00761774">
        <w:rPr>
          <w:sz w:val="28"/>
          <w:szCs w:val="28"/>
        </w:rPr>
        <w:t>й деятельности и добровольчества</w:t>
      </w:r>
      <w:r w:rsidR="00784271" w:rsidRPr="00DB134D">
        <w:rPr>
          <w:sz w:val="28"/>
          <w:szCs w:val="28"/>
        </w:rPr>
        <w:t xml:space="preserve">. </w:t>
      </w:r>
    </w:p>
    <w:p w:rsidR="008B64FE"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облас</w:t>
      </w:r>
      <w:r w:rsidR="00761774">
        <w:rPr>
          <w:sz w:val="28"/>
          <w:szCs w:val="28"/>
        </w:rPr>
        <w:t>ти образования и науки</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761774">
        <w:rPr>
          <w:sz w:val="28"/>
          <w:szCs w:val="28"/>
        </w:rPr>
        <w:t>в области образования и науки</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 xml:space="preserve">в области </w:t>
      </w:r>
      <w:r w:rsidR="00761774">
        <w:rPr>
          <w:sz w:val="28"/>
          <w:szCs w:val="28"/>
        </w:rPr>
        <w:t>образования и науки</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xml:space="preserve">, интересы которой они защищают и реализуют. Они являются выразителями общественного мнения отдельных групп общества и способны </w:t>
      </w:r>
      <w:r w:rsidRPr="00DB134D">
        <w:rPr>
          <w:sz w:val="28"/>
          <w:szCs w:val="28"/>
        </w:rPr>
        <w:lastRenderedPageBreak/>
        <w:t>организованно участвовать в решении вопросов, касающихся 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в обла</w:t>
      </w:r>
      <w:r w:rsidR="00761774">
        <w:rPr>
          <w:sz w:val="28"/>
          <w:szCs w:val="28"/>
        </w:rPr>
        <w:t>сти образования и науки</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Особую актуальность приобретает необходимость выстраивания системы взаимоотношений органов власти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761774">
        <w:rPr>
          <w:sz w:val="28"/>
          <w:szCs w:val="28"/>
        </w:rPr>
        <w:t xml:space="preserve">общественном Департаменте </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в обла</w:t>
      </w:r>
      <w:r w:rsidR="00761774">
        <w:rPr>
          <w:sz w:val="28"/>
          <w:szCs w:val="28"/>
        </w:rPr>
        <w:t xml:space="preserve">сти </w:t>
      </w:r>
      <w:r w:rsidRPr="00783C6B">
        <w:rPr>
          <w:sz w:val="28"/>
          <w:szCs w:val="28"/>
        </w:rPr>
        <w:t xml:space="preserve"> </w:t>
      </w:r>
      <w:r w:rsidR="00761774">
        <w:rPr>
          <w:sz w:val="28"/>
          <w:szCs w:val="28"/>
        </w:rPr>
        <w:t xml:space="preserve">образования и науки </w:t>
      </w:r>
      <w:r w:rsidRPr="00783C6B">
        <w:rPr>
          <w:sz w:val="28"/>
          <w:szCs w:val="28"/>
        </w:rPr>
        <w:t>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в обла</w:t>
      </w:r>
      <w:r w:rsidR="00761774">
        <w:rPr>
          <w:sz w:val="28"/>
          <w:szCs w:val="28"/>
        </w:rPr>
        <w:t>сти</w:t>
      </w:r>
      <w:r w:rsidR="00761774" w:rsidRPr="00761774">
        <w:rPr>
          <w:sz w:val="28"/>
          <w:szCs w:val="28"/>
        </w:rPr>
        <w:t xml:space="preserve"> </w:t>
      </w:r>
      <w:r w:rsidR="00761774">
        <w:rPr>
          <w:sz w:val="28"/>
          <w:szCs w:val="28"/>
        </w:rPr>
        <w:t>образования и науки</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8B64FE">
        <w:rPr>
          <w:sz w:val="28"/>
          <w:szCs w:val="28"/>
        </w:rPr>
        <w:t xml:space="preserve">тво области видит в продолжении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w:t>
      </w:r>
      <w:r w:rsidR="00761774">
        <w:rPr>
          <w:sz w:val="28"/>
          <w:szCs w:val="28"/>
        </w:rPr>
        <w:t>сти</w:t>
      </w:r>
      <w:r w:rsidR="00761774" w:rsidRPr="00761774">
        <w:rPr>
          <w:sz w:val="28"/>
          <w:szCs w:val="28"/>
        </w:rPr>
        <w:t xml:space="preserve"> </w:t>
      </w:r>
      <w:r w:rsidR="00761774">
        <w:rPr>
          <w:sz w:val="28"/>
          <w:szCs w:val="28"/>
        </w:rPr>
        <w:t>образования и науки</w:t>
      </w:r>
      <w:r w:rsidRPr="00783C6B">
        <w:rPr>
          <w:sz w:val="28"/>
          <w:szCs w:val="28"/>
        </w:rPr>
        <w:t>.</w:t>
      </w:r>
    </w:p>
    <w:p w:rsidR="00761774" w:rsidRPr="00783C6B" w:rsidRDefault="00761774" w:rsidP="00784271">
      <w:pPr>
        <w:pStyle w:val="affe"/>
        <w:jc w:val="both"/>
        <w:rPr>
          <w:sz w:val="28"/>
          <w:szCs w:val="28"/>
        </w:rPr>
      </w:pPr>
    </w:p>
    <w:p w:rsidR="00784271" w:rsidRPr="00DA2F5E" w:rsidRDefault="00784271" w:rsidP="00784271">
      <w:pPr>
        <w:pStyle w:val="affe"/>
        <w:jc w:val="both"/>
        <w:rPr>
          <w:sz w:val="28"/>
          <w:szCs w:val="28"/>
        </w:rPr>
      </w:pPr>
      <w:r w:rsidRPr="00DA0893">
        <w:lastRenderedPageBreak/>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w:t>
      </w:r>
      <w:r w:rsidR="00761774">
        <w:rPr>
          <w:sz w:val="28"/>
          <w:szCs w:val="28"/>
        </w:rPr>
        <w:t>бщественного Департамента</w:t>
      </w:r>
      <w:r w:rsidR="008B64FE">
        <w:rPr>
          <w:sz w:val="28"/>
          <w:szCs w:val="28"/>
        </w:rPr>
        <w:t xml:space="preserve"> и его структурных подразделений</w:t>
      </w:r>
      <w:r w:rsidR="00783C6B" w:rsidRPr="00DA2F5E">
        <w:rPr>
          <w:sz w:val="28"/>
          <w:szCs w:val="28"/>
        </w:rPr>
        <w:t xml:space="preserve"> </w:t>
      </w:r>
      <w:r w:rsidRPr="00DA2F5E">
        <w:rPr>
          <w:sz w:val="28"/>
          <w:szCs w:val="28"/>
        </w:rPr>
        <w:t>обеспечит преемственность достигнутых на сегодня основных форм взаимодействия и сотрудничества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 xml:space="preserve">в области </w:t>
      </w:r>
      <w:r w:rsidR="00761774">
        <w:rPr>
          <w:sz w:val="28"/>
          <w:szCs w:val="28"/>
        </w:rPr>
        <w:t xml:space="preserve">образования и науки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в обла</w:t>
      </w:r>
      <w:r w:rsidR="00761774">
        <w:rPr>
          <w:sz w:val="28"/>
          <w:szCs w:val="28"/>
        </w:rPr>
        <w:t>сти образования и науки</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 проблем населения региона.</w:t>
      </w:r>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
    <w:p w:rsidR="009F0890" w:rsidRPr="002F5D4A" w:rsidRDefault="00784271" w:rsidP="002F5D4A">
      <w:pPr>
        <w:pStyle w:val="affe"/>
        <w:jc w:val="both"/>
        <w:rPr>
          <w:sz w:val="28"/>
          <w:szCs w:val="28"/>
        </w:rPr>
      </w:pPr>
      <w:r w:rsidRPr="00DA2F5E">
        <w:rPr>
          <w:sz w:val="28"/>
          <w:szCs w:val="28"/>
        </w:rPr>
        <w:b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761774" w:rsidRDefault="00761774" w:rsidP="00130CB2">
      <w:pPr>
        <w:spacing w:before="100" w:beforeAutospacing="1" w:after="100" w:afterAutospacing="1"/>
        <w:outlineLvl w:val="2"/>
        <w:rPr>
          <w:b/>
          <w:bCs/>
          <w:sz w:val="28"/>
          <w:szCs w:val="28"/>
        </w:rPr>
      </w:pPr>
    </w:p>
    <w:p w:rsidR="00130CB2" w:rsidRDefault="00784271" w:rsidP="00130CB2">
      <w:pPr>
        <w:spacing w:before="100" w:beforeAutospacing="1" w:after="100" w:afterAutospacing="1"/>
        <w:outlineLvl w:val="2"/>
        <w:rPr>
          <w:b/>
          <w:bCs/>
          <w:sz w:val="28"/>
          <w:szCs w:val="28"/>
        </w:rPr>
      </w:pPr>
      <w:r w:rsidRPr="00D4575D">
        <w:rPr>
          <w:b/>
          <w:bCs/>
          <w:sz w:val="28"/>
          <w:szCs w:val="28"/>
        </w:rPr>
        <w:lastRenderedPageBreak/>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r w:rsidR="00DA2F5E">
        <w:rPr>
          <w:sz w:val="28"/>
          <w:szCs w:val="28"/>
        </w:rPr>
        <w:t>-</w:t>
      </w:r>
      <w:r w:rsidRPr="00DA2F5E">
        <w:rPr>
          <w:sz w:val="28"/>
          <w:szCs w:val="28"/>
        </w:rPr>
        <w:t xml:space="preserve">эффективного использования возможностей социально ориентированных 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в обла</w:t>
      </w:r>
      <w:r w:rsidR="00761774">
        <w:rPr>
          <w:sz w:val="28"/>
          <w:szCs w:val="28"/>
        </w:rPr>
        <w:t>сти образования и науки</w:t>
      </w:r>
      <w:r w:rsidR="007E6BF7">
        <w:rPr>
          <w:sz w:val="28"/>
          <w:szCs w:val="28"/>
        </w:rPr>
        <w:t xml:space="preserve">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 xml:space="preserve">в области </w:t>
      </w:r>
      <w:r w:rsidR="00761774">
        <w:rPr>
          <w:sz w:val="28"/>
          <w:szCs w:val="28"/>
        </w:rPr>
        <w:t>образования и науки</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в обла</w:t>
      </w:r>
      <w:r w:rsidR="00761774">
        <w:rPr>
          <w:sz w:val="28"/>
          <w:szCs w:val="28"/>
        </w:rPr>
        <w:t>сти образования и науки</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761774">
        <w:rPr>
          <w:sz w:val="28"/>
          <w:szCs w:val="28"/>
        </w:rPr>
        <w:t>сти образования и науки</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общественного Департамента и его структурных подразделений в области</w:t>
      </w:r>
      <w:r w:rsidR="00761774" w:rsidRPr="00761774">
        <w:rPr>
          <w:sz w:val="28"/>
          <w:szCs w:val="28"/>
        </w:rPr>
        <w:t xml:space="preserve"> </w:t>
      </w:r>
      <w:r w:rsidR="00761774" w:rsidRPr="00761774">
        <w:rPr>
          <w:rFonts w:ascii="Times New Roman" w:hAnsi="Times New Roman"/>
          <w:sz w:val="28"/>
          <w:szCs w:val="28"/>
        </w:rPr>
        <w:t>образования и науки</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r w:rsidR="00761774">
        <w:rPr>
          <w:rFonts w:ascii="Times New Roman" w:eastAsia="Calibri" w:hAnsi="Times New Roman"/>
          <w:iCs/>
          <w:color w:val="000000"/>
          <w:sz w:val="28"/>
          <w:szCs w:val="28"/>
        </w:rPr>
        <w:t xml:space="preserve"> в области</w:t>
      </w:r>
      <w:r w:rsidR="00761774" w:rsidRPr="00761774">
        <w:rPr>
          <w:rFonts w:ascii="Times New Roman" w:hAnsi="Times New Roman"/>
          <w:sz w:val="28"/>
          <w:szCs w:val="28"/>
        </w:rPr>
        <w:t xml:space="preserve"> </w:t>
      </w:r>
      <w:r w:rsidR="00761774" w:rsidRPr="00761774">
        <w:rPr>
          <w:rFonts w:ascii="Times New Roman" w:hAnsi="Times New Roman"/>
          <w:sz w:val="28"/>
          <w:szCs w:val="28"/>
        </w:rPr>
        <w:lastRenderedPageBreak/>
        <w:t>образования и науки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w:t>
      </w:r>
      <w:r w:rsidR="00761774">
        <w:rPr>
          <w:rFonts w:ascii="Times New Roman" w:eastAsia="Calibri" w:hAnsi="Times New Roman"/>
          <w:iCs/>
          <w:color w:val="000000"/>
          <w:sz w:val="28"/>
          <w:szCs w:val="28"/>
        </w:rPr>
        <w:t>ти</w:t>
      </w:r>
      <w:r w:rsidR="00761774" w:rsidRPr="00761774">
        <w:rPr>
          <w:rFonts w:ascii="Times New Roman" w:hAnsi="Times New Roman"/>
          <w:sz w:val="28"/>
          <w:szCs w:val="28"/>
        </w:rPr>
        <w:t xml:space="preserve"> образования и науки</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w:t>
      </w:r>
      <w:r w:rsidR="00761774">
        <w:rPr>
          <w:rFonts w:ascii="Times New Roman" w:eastAsia="Calibri" w:hAnsi="Times New Roman"/>
          <w:iCs/>
          <w:color w:val="000000"/>
          <w:sz w:val="28"/>
          <w:szCs w:val="28"/>
        </w:rPr>
        <w:t>сти</w:t>
      </w:r>
      <w:r w:rsidR="00761774" w:rsidRPr="00761774">
        <w:rPr>
          <w:rFonts w:ascii="Times New Roman" w:hAnsi="Times New Roman"/>
          <w:sz w:val="28"/>
          <w:szCs w:val="28"/>
        </w:rPr>
        <w:t xml:space="preserve"> образования и науки</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w:t>
      </w:r>
      <w:r w:rsidR="007A58EE">
        <w:rPr>
          <w:rFonts w:ascii="Times New Roman" w:eastAsia="Calibri" w:hAnsi="Times New Roman"/>
          <w:iCs/>
          <w:color w:val="000000"/>
          <w:sz w:val="28"/>
          <w:szCs w:val="28"/>
        </w:rPr>
        <w:t>сти</w:t>
      </w:r>
      <w:r w:rsidR="007A58EE" w:rsidRPr="007A58EE">
        <w:rPr>
          <w:rFonts w:ascii="Times New Roman" w:hAnsi="Times New Roman"/>
          <w:sz w:val="28"/>
          <w:szCs w:val="28"/>
        </w:rPr>
        <w:t xml:space="preserve">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5235BB">
        <w:rPr>
          <w:rFonts w:ascii="Times New Roman" w:eastAsia="Calibri" w:hAnsi="Times New Roman"/>
          <w:iCs/>
          <w:color w:val="000000"/>
          <w:sz w:val="28"/>
          <w:szCs w:val="28"/>
        </w:rPr>
        <w:t>свобод представителей спортивных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спорта</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7A58EE" w:rsidRPr="00761774">
        <w:rPr>
          <w:rFonts w:ascii="Times New Roman" w:hAnsi="Times New Roman"/>
          <w:sz w:val="28"/>
          <w:szCs w:val="28"/>
        </w:rPr>
        <w:t>образования и науки</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8B2339" w:rsidRPr="00AE58F8" w:rsidRDefault="009C4DF1" w:rsidP="007A58E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области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lastRenderedPageBreak/>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растолковывает. Общественная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w:t>
      </w:r>
      <w:r w:rsidR="007A58EE">
        <w:rPr>
          <w:rFonts w:ascii="Times New Roman" w:eastAsia="Calibri" w:hAnsi="Times New Roman"/>
          <w:iCs/>
          <w:color w:val="000000"/>
          <w:sz w:val="28"/>
          <w:szCs w:val="28"/>
        </w:rPr>
        <w:t>образования</w:t>
      </w:r>
      <w:r w:rsidRPr="00AE58F8">
        <w:rPr>
          <w:rFonts w:ascii="Times New Roman" w:eastAsia="Calibri" w:hAnsi="Times New Roman"/>
          <w:iCs/>
          <w:color w:val="000000"/>
          <w:sz w:val="28"/>
          <w:szCs w:val="28"/>
        </w:rPr>
        <w:t>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r w:rsidR="007A58EE">
        <w:rPr>
          <w:rFonts w:ascii="Times New Roman" w:eastAsia="Calibri" w:hAnsi="Times New Roman"/>
          <w:iCs/>
          <w:color w:val="000000"/>
          <w:sz w:val="28"/>
          <w:szCs w:val="28"/>
        </w:rPr>
        <w:t xml:space="preserve">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w:t>
      </w:r>
      <w:r w:rsidR="007A58EE">
        <w:rPr>
          <w:rFonts w:ascii="Times New Roman" w:eastAsia="Calibri" w:hAnsi="Times New Roman"/>
          <w:iCs/>
          <w:color w:val="000000"/>
          <w:sz w:val="28"/>
          <w:szCs w:val="28"/>
        </w:rPr>
        <w:t xml:space="preserve">сти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7A58EE">
        <w:rPr>
          <w:rFonts w:ascii="Times New Roman" w:eastAsia="Calibri" w:hAnsi="Times New Roman"/>
          <w:iCs/>
          <w:color w:val="000000"/>
          <w:sz w:val="28"/>
          <w:szCs w:val="28"/>
        </w:rPr>
        <w:t>изации и население в</w:t>
      </w:r>
      <w:r w:rsidR="00337C24">
        <w:rPr>
          <w:rFonts w:ascii="Times New Roman" w:eastAsia="Calibri" w:hAnsi="Times New Roman"/>
          <w:iCs/>
          <w:color w:val="000000"/>
          <w:sz w:val="28"/>
          <w:szCs w:val="28"/>
        </w:rPr>
        <w:t xml:space="preserve"> </w:t>
      </w:r>
      <w:r w:rsidR="007A58EE">
        <w:rPr>
          <w:rFonts w:ascii="Times New Roman" w:eastAsia="Calibri" w:hAnsi="Times New Roman"/>
          <w:iCs/>
          <w:color w:val="000000"/>
          <w:sz w:val="28"/>
          <w:szCs w:val="28"/>
        </w:rPr>
        <w:t xml:space="preserve">общественном Департаменте </w:t>
      </w:r>
      <w:r w:rsidR="007A58EE" w:rsidRPr="00761774">
        <w:rPr>
          <w:rFonts w:ascii="Times New Roman" w:hAnsi="Times New Roman"/>
          <w:sz w:val="28"/>
          <w:szCs w:val="28"/>
        </w:rPr>
        <w:t>образования и науки</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w:t>
      </w:r>
      <w:r w:rsidR="007A58EE">
        <w:rPr>
          <w:rFonts w:ascii="Times New Roman" w:eastAsia="Calibri" w:hAnsi="Times New Roman"/>
          <w:iCs/>
          <w:color w:val="000000"/>
          <w:sz w:val="28"/>
          <w:szCs w:val="28"/>
        </w:rPr>
        <w:t xml:space="preserve">ке нашего региона в области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lastRenderedPageBreak/>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7A58EE" w:rsidRPr="007A58EE">
        <w:rPr>
          <w:rFonts w:ascii="Times New Roman" w:hAnsi="Times New Roman"/>
          <w:sz w:val="28"/>
          <w:szCs w:val="28"/>
        </w:rPr>
        <w:t xml:space="preserve"> </w:t>
      </w:r>
      <w:r w:rsidR="007A58EE" w:rsidRPr="00761774">
        <w:rPr>
          <w:rFonts w:ascii="Times New Roman" w:hAnsi="Times New Roman"/>
          <w:sz w:val="28"/>
          <w:szCs w:val="28"/>
        </w:rPr>
        <w:t>образования и науки</w:t>
      </w:r>
      <w:r w:rsidR="007A58EE">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057CAD">
        <w:rPr>
          <w:rFonts w:ascii="Times New Roman" w:eastAsia="Calibri" w:hAnsi="Times New Roman"/>
          <w:iCs/>
          <w:color w:val="000000"/>
          <w:sz w:val="28"/>
          <w:szCs w:val="28"/>
        </w:rPr>
        <w:t>х сферах 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7A58EE" w:rsidRPr="007A58EE">
        <w:rPr>
          <w:rFonts w:ascii="Times New Roman" w:hAnsi="Times New Roman"/>
          <w:sz w:val="28"/>
          <w:szCs w:val="28"/>
        </w:rPr>
        <w:t xml:space="preserve"> </w:t>
      </w:r>
      <w:r w:rsidR="007A58EE">
        <w:rPr>
          <w:rFonts w:ascii="Times New Roman" w:hAnsi="Times New Roman"/>
          <w:sz w:val="28"/>
          <w:szCs w:val="28"/>
        </w:rPr>
        <w:t xml:space="preserve">в области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7A58EE" w:rsidRPr="00761774">
        <w:rPr>
          <w:rFonts w:ascii="Times New Roman" w:hAnsi="Times New Roman"/>
          <w:sz w:val="28"/>
          <w:szCs w:val="28"/>
        </w:rPr>
        <w:t>образования и науки</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 № 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007A58EE" w:rsidRPr="00761774">
        <w:rPr>
          <w:sz w:val="28"/>
          <w:szCs w:val="28"/>
        </w:rPr>
        <w:t>образования и науки</w:t>
      </w:r>
      <w:r w:rsidR="007A58EE">
        <w:rPr>
          <w:rStyle w:val="afd"/>
          <w:i w:val="0"/>
          <w:sz w:val="28"/>
          <w:szCs w:val="28"/>
        </w:rPr>
        <w:t xml:space="preserve"> </w:t>
      </w:r>
      <w:r w:rsidRPr="00041123">
        <w:rPr>
          <w:rStyle w:val="afd"/>
          <w:i w:val="0"/>
          <w:sz w:val="28"/>
          <w:szCs w:val="28"/>
        </w:rPr>
        <w:t>,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lastRenderedPageBreak/>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млн.руб.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течении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7A58EE" w:rsidRPr="00761774">
        <w:rPr>
          <w:sz w:val="28"/>
          <w:szCs w:val="28"/>
        </w:rPr>
        <w:t>образования и науки</w:t>
      </w:r>
      <w:r w:rsidR="00EA7168" w:rsidRPr="00041123">
        <w:rPr>
          <w:rStyle w:val="afd"/>
          <w:i w:val="0"/>
          <w:sz w:val="28"/>
          <w:szCs w:val="28"/>
        </w:rPr>
        <w:t>.</w:t>
      </w:r>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которого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 xml:space="preserve">постановлением Правительства Российской Федерации от 23 августа 2011 года N 713 "О предоставлении поддержки </w:t>
        </w:r>
        <w:r w:rsidRPr="00EA7168">
          <w:rPr>
            <w:color w:val="0000FF"/>
            <w:sz w:val="28"/>
            <w:szCs w:val="28"/>
            <w:u w:val="single"/>
          </w:rPr>
          <w:lastRenderedPageBreak/>
          <w:t>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r>
        <w:rPr>
          <w:sz w:val="28"/>
          <w:szCs w:val="28"/>
        </w:rPr>
        <w:br/>
        <w:t>-</w:t>
      </w:r>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7E12C4" w:rsidRPr="007E12C4">
        <w:rPr>
          <w:sz w:val="28"/>
          <w:szCs w:val="28"/>
        </w:rPr>
        <w:t xml:space="preserve"> </w:t>
      </w:r>
      <w:r w:rsidR="007E12C4" w:rsidRPr="00761774">
        <w:rPr>
          <w:sz w:val="28"/>
          <w:szCs w:val="28"/>
        </w:rPr>
        <w:t>образования и науки</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r w:rsidR="007E12C4">
        <w:rPr>
          <w:sz w:val="28"/>
          <w:szCs w:val="28"/>
        </w:rPr>
        <w:tab/>
      </w:r>
      <w:r w:rsidR="008837FF">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7E12C4">
        <w:rPr>
          <w:sz w:val="28"/>
          <w:szCs w:val="28"/>
        </w:rPr>
        <w:tab/>
      </w:r>
      <w:r w:rsidR="007E12C4">
        <w:rPr>
          <w:sz w:val="28"/>
          <w:szCs w:val="28"/>
        </w:rPr>
        <w:tab/>
      </w:r>
      <w:r w:rsidR="007E12C4">
        <w:rPr>
          <w:sz w:val="28"/>
          <w:szCs w:val="28"/>
        </w:rPr>
        <w:tab/>
      </w:r>
      <w:r w:rsidR="007E12C4">
        <w:rPr>
          <w:sz w:val="28"/>
          <w:szCs w:val="28"/>
        </w:rPr>
        <w:tab/>
      </w:r>
      <w:r w:rsidR="007E12C4">
        <w:rPr>
          <w:sz w:val="28"/>
          <w:szCs w:val="28"/>
        </w:rPr>
        <w:tab/>
      </w:r>
      <w:r w:rsidR="007E12C4">
        <w:rPr>
          <w:sz w:val="28"/>
          <w:szCs w:val="28"/>
        </w:rPr>
        <w:tab/>
      </w:r>
      <w:r w:rsidR="007E12C4">
        <w:rPr>
          <w:sz w:val="28"/>
          <w:szCs w:val="28"/>
        </w:rPr>
        <w:tab/>
      </w:r>
      <w:r w:rsidR="007E12C4">
        <w:rPr>
          <w:sz w:val="28"/>
          <w:szCs w:val="28"/>
        </w:rPr>
        <w:tab/>
        <w:t xml:space="preserve">               </w:t>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7E12C4" w:rsidRPr="00761774">
        <w:rPr>
          <w:sz w:val="28"/>
          <w:szCs w:val="28"/>
        </w:rPr>
        <w:t>образования и науки</w:t>
      </w:r>
      <w:r w:rsidR="00BB129E">
        <w:rPr>
          <w:sz w:val="28"/>
          <w:szCs w:val="28"/>
        </w:rPr>
        <w:t>;</w:t>
      </w:r>
      <w:r w:rsidR="00BB129E">
        <w:rPr>
          <w:sz w:val="28"/>
          <w:szCs w:val="28"/>
        </w:rPr>
        <w:br/>
        <w:t>-</w:t>
      </w:r>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w:t>
      </w:r>
      <w:r w:rsidR="007E12C4">
        <w:rPr>
          <w:sz w:val="28"/>
          <w:szCs w:val="28"/>
        </w:rPr>
        <w:t xml:space="preserve">сти </w:t>
      </w:r>
      <w:r w:rsidR="007E12C4" w:rsidRPr="00761774">
        <w:rPr>
          <w:sz w:val="28"/>
          <w:szCs w:val="28"/>
        </w:rPr>
        <w:t>образования и науки</w:t>
      </w:r>
      <w:r w:rsidR="00784271" w:rsidRPr="001D7AB7">
        <w:rPr>
          <w:sz w:val="28"/>
          <w:szCs w:val="28"/>
        </w:rPr>
        <w:t>;</w:t>
      </w:r>
      <w:r w:rsidR="00784271" w:rsidRPr="001D7AB7">
        <w:rPr>
          <w:sz w:val="28"/>
          <w:szCs w:val="28"/>
        </w:rPr>
        <w:br/>
      </w:r>
      <w:r w:rsidR="00BB129E">
        <w:rPr>
          <w:sz w:val="28"/>
          <w:szCs w:val="28"/>
        </w:rPr>
        <w:t>-</w:t>
      </w:r>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 xml:space="preserve">в области </w:t>
      </w:r>
      <w:r w:rsidR="007E12C4" w:rsidRPr="00761774">
        <w:rPr>
          <w:sz w:val="28"/>
          <w:szCs w:val="28"/>
        </w:rPr>
        <w:t>образования и науки</w:t>
      </w:r>
      <w:r w:rsidR="007E12C4" w:rsidRPr="007E6BF7">
        <w:rPr>
          <w:rFonts w:eastAsia="Calibri"/>
          <w:iCs/>
          <w:color w:val="000000"/>
          <w:sz w:val="28"/>
          <w:szCs w:val="28"/>
        </w:rPr>
        <w:t xml:space="preserve">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BB129E">
        <w:rPr>
          <w:sz w:val="28"/>
          <w:szCs w:val="28"/>
        </w:rPr>
        <w:t>:</w:t>
      </w:r>
    </w:p>
    <w:p w:rsidR="00520158" w:rsidRPr="007E12C4" w:rsidRDefault="007E12C4" w:rsidP="007E12C4">
      <w:pPr>
        <w:pStyle w:val="a9"/>
        <w:numPr>
          <w:ilvl w:val="0"/>
          <w:numId w:val="42"/>
        </w:numPr>
        <w:rPr>
          <w:sz w:val="28"/>
          <w:szCs w:val="28"/>
        </w:rPr>
      </w:pPr>
      <w:r w:rsidRPr="007E12C4">
        <w:rPr>
          <w:sz w:val="28"/>
          <w:szCs w:val="28"/>
        </w:rPr>
        <w:t>Образовательные учреждения  дополнительного образования</w:t>
      </w:r>
    </w:p>
    <w:p w:rsidR="007E12C4" w:rsidRPr="007E12C4" w:rsidRDefault="007E12C4" w:rsidP="007E12C4">
      <w:pPr>
        <w:pStyle w:val="a9"/>
        <w:numPr>
          <w:ilvl w:val="0"/>
          <w:numId w:val="42"/>
        </w:numPr>
        <w:rPr>
          <w:sz w:val="28"/>
          <w:szCs w:val="28"/>
        </w:rPr>
      </w:pPr>
      <w:r w:rsidRPr="007E12C4">
        <w:rPr>
          <w:sz w:val="28"/>
          <w:szCs w:val="28"/>
        </w:rPr>
        <w:t>Образовател</w:t>
      </w:r>
      <w:r>
        <w:rPr>
          <w:sz w:val="28"/>
          <w:szCs w:val="28"/>
        </w:rPr>
        <w:t>ьные учреждения  дошкольного</w:t>
      </w:r>
      <w:r w:rsidRPr="007E12C4">
        <w:rPr>
          <w:sz w:val="28"/>
          <w:szCs w:val="28"/>
        </w:rPr>
        <w:t xml:space="preserve"> образования</w:t>
      </w:r>
    </w:p>
    <w:p w:rsidR="007E12C4" w:rsidRPr="007E12C4" w:rsidRDefault="007E12C4" w:rsidP="007E12C4">
      <w:pPr>
        <w:pStyle w:val="a9"/>
        <w:numPr>
          <w:ilvl w:val="0"/>
          <w:numId w:val="42"/>
        </w:numPr>
        <w:rPr>
          <w:sz w:val="28"/>
          <w:szCs w:val="28"/>
        </w:rPr>
      </w:pPr>
      <w:r w:rsidRPr="007E12C4">
        <w:rPr>
          <w:sz w:val="28"/>
          <w:szCs w:val="28"/>
        </w:rPr>
        <w:t>Образовател</w:t>
      </w:r>
      <w:r>
        <w:rPr>
          <w:sz w:val="28"/>
          <w:szCs w:val="28"/>
        </w:rPr>
        <w:t>ьные учреждения  среднего и технического</w:t>
      </w:r>
      <w:r w:rsidRPr="007E12C4">
        <w:rPr>
          <w:sz w:val="28"/>
          <w:szCs w:val="28"/>
        </w:rPr>
        <w:t xml:space="preserve"> образования</w:t>
      </w:r>
    </w:p>
    <w:p w:rsidR="007E12C4" w:rsidRPr="007E12C4" w:rsidRDefault="007E12C4" w:rsidP="007E12C4">
      <w:pPr>
        <w:pStyle w:val="a9"/>
        <w:numPr>
          <w:ilvl w:val="0"/>
          <w:numId w:val="42"/>
        </w:numPr>
        <w:rPr>
          <w:sz w:val="28"/>
          <w:szCs w:val="28"/>
        </w:rPr>
      </w:pPr>
      <w:r w:rsidRPr="007E12C4">
        <w:rPr>
          <w:sz w:val="28"/>
          <w:szCs w:val="28"/>
        </w:rPr>
        <w:t>Образовател</w:t>
      </w:r>
      <w:r>
        <w:rPr>
          <w:sz w:val="28"/>
          <w:szCs w:val="28"/>
        </w:rPr>
        <w:t>ьные учреждения  высшего</w:t>
      </w:r>
      <w:r w:rsidRPr="007E12C4">
        <w:rPr>
          <w:sz w:val="28"/>
          <w:szCs w:val="28"/>
        </w:rPr>
        <w:t xml:space="preserve"> образования</w:t>
      </w: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контроль за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общественного Департамента и его структ</w:t>
      </w:r>
      <w:r w:rsidR="007E12C4">
        <w:rPr>
          <w:sz w:val="28"/>
          <w:szCs w:val="28"/>
        </w:rPr>
        <w:t>урных подразделений</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00DB37C3" w:rsidRPr="00D4575D">
        <w:rPr>
          <w:sz w:val="28"/>
          <w:szCs w:val="28"/>
        </w:rPr>
        <w:t xml:space="preserve"> в области </w:t>
      </w:r>
      <w:r w:rsidR="007E12C4">
        <w:rPr>
          <w:sz w:val="28"/>
          <w:szCs w:val="28"/>
        </w:rPr>
        <w:t xml:space="preserve">образования и науки </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lastRenderedPageBreak/>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Pr="00801AF9" w:rsidRDefault="00784271" w:rsidP="00801AF9">
      <w:pPr>
        <w:spacing w:before="100" w:beforeAutospacing="1" w:after="100" w:afterAutospacing="1"/>
        <w:jc w:val="both"/>
        <w:rPr>
          <w:sz w:val="28"/>
          <w:szCs w:val="28"/>
        </w:rPr>
      </w:pPr>
      <w:r w:rsidRPr="00D4575D">
        <w:rPr>
          <w:sz w:val="28"/>
          <w:szCs w:val="28"/>
        </w:rPr>
        <w:t xml:space="preserve">Контроль за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w:t>
      </w:r>
      <w:r w:rsidR="007E12C4">
        <w:rPr>
          <w:sz w:val="28"/>
          <w:szCs w:val="28"/>
        </w:rPr>
        <w:t>бщественного Департамента Образования</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7E12C4">
        <w:rPr>
          <w:i/>
          <w:sz w:val="28"/>
          <w:szCs w:val="28"/>
        </w:rPr>
        <w:t>редседат</w:t>
      </w:r>
      <w:r w:rsidR="00801AF9">
        <w:rPr>
          <w:i/>
          <w:sz w:val="28"/>
          <w:szCs w:val="28"/>
        </w:rPr>
        <w:t>ель</w:t>
      </w:r>
      <w:r w:rsidR="009F0890" w:rsidRPr="0034144F">
        <w:rPr>
          <w:i/>
          <w:sz w:val="28"/>
          <w:szCs w:val="28"/>
        </w:rPr>
        <w:t xml:space="preserve"> </w:t>
      </w:r>
      <w:r>
        <w:rPr>
          <w:i/>
          <w:sz w:val="28"/>
          <w:szCs w:val="28"/>
        </w:rPr>
        <w:t>о</w:t>
      </w:r>
      <w:r w:rsidR="007E12C4">
        <w:rPr>
          <w:i/>
          <w:sz w:val="28"/>
          <w:szCs w:val="28"/>
        </w:rPr>
        <w:t>бщественного Департамента образования</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8F41F7"/>
    <w:multiLevelType w:val="hybridMultilevel"/>
    <w:tmpl w:val="EE328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8">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9">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10">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5">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8">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20">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3">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4">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5">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0">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3"/>
  </w:num>
  <w:num w:numId="4">
    <w:abstractNumId w:val="16"/>
  </w:num>
  <w:num w:numId="5">
    <w:abstractNumId w:val="36"/>
  </w:num>
  <w:num w:numId="6">
    <w:abstractNumId w:val="30"/>
  </w:num>
  <w:num w:numId="7">
    <w:abstractNumId w:val="34"/>
  </w:num>
  <w:num w:numId="8">
    <w:abstractNumId w:val="32"/>
  </w:num>
  <w:num w:numId="9">
    <w:abstractNumId w:val="4"/>
  </w:num>
  <w:num w:numId="10">
    <w:abstractNumId w:val="15"/>
  </w:num>
  <w:num w:numId="11">
    <w:abstractNumId w:val="27"/>
  </w:num>
  <w:num w:numId="12">
    <w:abstractNumId w:val="31"/>
  </w:num>
  <w:num w:numId="13">
    <w:abstractNumId w:val="21"/>
  </w:num>
  <w:num w:numId="14">
    <w:abstractNumId w:val="1"/>
  </w:num>
  <w:num w:numId="15">
    <w:abstractNumId w:val="17"/>
  </w:num>
  <w:num w:numId="16">
    <w:abstractNumId w:val="41"/>
  </w:num>
  <w:num w:numId="17">
    <w:abstractNumId w:val="37"/>
  </w:num>
  <w:num w:numId="18">
    <w:abstractNumId w:val="26"/>
  </w:num>
  <w:num w:numId="19">
    <w:abstractNumId w:val="39"/>
  </w:num>
  <w:num w:numId="20">
    <w:abstractNumId w:val="35"/>
  </w:num>
  <w:num w:numId="21">
    <w:abstractNumId w:val="0"/>
  </w:num>
  <w:num w:numId="22">
    <w:abstractNumId w:val="28"/>
  </w:num>
  <w:num w:numId="23">
    <w:abstractNumId w:val="12"/>
  </w:num>
  <w:num w:numId="24">
    <w:abstractNumId w:val="8"/>
  </w:num>
  <w:num w:numId="25">
    <w:abstractNumId w:val="29"/>
  </w:num>
  <w:num w:numId="26">
    <w:abstractNumId w:val="25"/>
  </w:num>
  <w:num w:numId="27">
    <w:abstractNumId w:val="5"/>
  </w:num>
  <w:num w:numId="28">
    <w:abstractNumId w:val="11"/>
  </w:num>
  <w:num w:numId="29">
    <w:abstractNumId w:val="38"/>
  </w:num>
  <w:num w:numId="30">
    <w:abstractNumId w:val="2"/>
  </w:num>
  <w:num w:numId="31">
    <w:abstractNumId w:val="20"/>
  </w:num>
  <w:num w:numId="32">
    <w:abstractNumId w:val="18"/>
  </w:num>
  <w:num w:numId="33">
    <w:abstractNumId w:val="13"/>
  </w:num>
  <w:num w:numId="34">
    <w:abstractNumId w:val="40"/>
  </w:num>
  <w:num w:numId="35">
    <w:abstractNumId w:val="19"/>
  </w:num>
  <w:num w:numId="36">
    <w:abstractNumId w:val="24"/>
  </w:num>
  <w:num w:numId="37">
    <w:abstractNumId w:val="9"/>
  </w:num>
  <w:num w:numId="38">
    <w:abstractNumId w:val="7"/>
  </w:num>
  <w:num w:numId="39">
    <w:abstractNumId w:val="22"/>
  </w:num>
  <w:num w:numId="40">
    <w:abstractNumId w:val="3"/>
  </w:num>
  <w:num w:numId="41">
    <w:abstractNumId w:val="2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443C"/>
    <w:rsid w:val="00166699"/>
    <w:rsid w:val="00174574"/>
    <w:rsid w:val="00174CC7"/>
    <w:rsid w:val="00193DD9"/>
    <w:rsid w:val="001C1A87"/>
    <w:rsid w:val="001D7AB7"/>
    <w:rsid w:val="001E120D"/>
    <w:rsid w:val="002025D9"/>
    <w:rsid w:val="00202F2A"/>
    <w:rsid w:val="00211F97"/>
    <w:rsid w:val="00223DD3"/>
    <w:rsid w:val="00225E3E"/>
    <w:rsid w:val="00230545"/>
    <w:rsid w:val="00242395"/>
    <w:rsid w:val="00250BB6"/>
    <w:rsid w:val="00260056"/>
    <w:rsid w:val="002730F6"/>
    <w:rsid w:val="002824FE"/>
    <w:rsid w:val="00282902"/>
    <w:rsid w:val="002905E3"/>
    <w:rsid w:val="00296492"/>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B63C9"/>
    <w:rsid w:val="006C41C7"/>
    <w:rsid w:val="006D5D2F"/>
    <w:rsid w:val="006D67A6"/>
    <w:rsid w:val="006E4446"/>
    <w:rsid w:val="006E6DF3"/>
    <w:rsid w:val="006F6616"/>
    <w:rsid w:val="0070071C"/>
    <w:rsid w:val="00733051"/>
    <w:rsid w:val="00735946"/>
    <w:rsid w:val="007534B0"/>
    <w:rsid w:val="00761774"/>
    <w:rsid w:val="00783C6B"/>
    <w:rsid w:val="00784271"/>
    <w:rsid w:val="007915C2"/>
    <w:rsid w:val="0079715E"/>
    <w:rsid w:val="007A114C"/>
    <w:rsid w:val="007A58EE"/>
    <w:rsid w:val="007B1867"/>
    <w:rsid w:val="007C1929"/>
    <w:rsid w:val="007C4937"/>
    <w:rsid w:val="007D4CA6"/>
    <w:rsid w:val="007E12C4"/>
    <w:rsid w:val="007E6BF7"/>
    <w:rsid w:val="00801AF9"/>
    <w:rsid w:val="00804EED"/>
    <w:rsid w:val="00833EAF"/>
    <w:rsid w:val="00852DD9"/>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210C"/>
    <w:rsid w:val="00944BD8"/>
    <w:rsid w:val="00982C3D"/>
    <w:rsid w:val="009B5849"/>
    <w:rsid w:val="009C190C"/>
    <w:rsid w:val="009C4DF1"/>
    <w:rsid w:val="009C51F3"/>
    <w:rsid w:val="009D53CD"/>
    <w:rsid w:val="009E4BDB"/>
    <w:rsid w:val="009E5048"/>
    <w:rsid w:val="009E609E"/>
    <w:rsid w:val="009F0890"/>
    <w:rsid w:val="009F2332"/>
    <w:rsid w:val="009F6DC7"/>
    <w:rsid w:val="009F7ABD"/>
    <w:rsid w:val="00A3428F"/>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66E08"/>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6A7E"/>
    <w:rsid w:val="00E52E97"/>
    <w:rsid w:val="00E53754"/>
    <w:rsid w:val="00E53BAC"/>
    <w:rsid w:val="00E5769B"/>
    <w:rsid w:val="00E71739"/>
    <w:rsid w:val="00E75523"/>
    <w:rsid w:val="00E95847"/>
    <w:rsid w:val="00EA7168"/>
    <w:rsid w:val="00EB62D2"/>
    <w:rsid w:val="00EC4CDA"/>
    <w:rsid w:val="00ED0D91"/>
    <w:rsid w:val="00ED139D"/>
    <w:rsid w:val="00ED2C14"/>
    <w:rsid w:val="00ED6965"/>
    <w:rsid w:val="00EE171B"/>
    <w:rsid w:val="00EF1871"/>
    <w:rsid w:val="00F047D1"/>
    <w:rsid w:val="00F16AE1"/>
    <w:rsid w:val="00F175FB"/>
    <w:rsid w:val="00F223E3"/>
    <w:rsid w:val="00F24E46"/>
    <w:rsid w:val="00F274B8"/>
    <w:rsid w:val="00F73092"/>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4610</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116</cp:revision>
  <cp:lastPrinted>2016-04-19T11:02:00Z</cp:lastPrinted>
  <dcterms:created xsi:type="dcterms:W3CDTF">2016-03-13T09:30:00Z</dcterms:created>
  <dcterms:modified xsi:type="dcterms:W3CDTF">2017-06-27T08:45:00Z</dcterms:modified>
</cp:coreProperties>
</file>